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402"/>
        <w:gridCol w:w="4990"/>
        <w:gridCol w:w="7768"/>
      </w:tblGrid>
      <w:tr w:rsidR="00941632" w:rsidRPr="008B51D7" w:rsidTr="008B51D7">
        <w:trPr>
          <w:trHeight w:val="1258"/>
        </w:trPr>
        <w:tc>
          <w:tcPr>
            <w:tcW w:w="3402" w:type="dxa"/>
            <w:shd w:val="clear" w:color="auto" w:fill="auto"/>
          </w:tcPr>
          <w:p w:rsidR="00941632" w:rsidRPr="008B51D7" w:rsidRDefault="00941632" w:rsidP="008B51D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4990" w:type="dxa"/>
          </w:tcPr>
          <w:p w:rsidR="00941632" w:rsidRPr="008B51D7" w:rsidRDefault="00941632" w:rsidP="008B51D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768" w:type="dxa"/>
            <w:shd w:val="clear" w:color="auto" w:fill="auto"/>
          </w:tcPr>
          <w:p w:rsidR="00941632" w:rsidRPr="008B51D7" w:rsidRDefault="00941632" w:rsidP="008B51D7">
            <w:pPr>
              <w:spacing w:after="0" w:line="240" w:lineRule="auto"/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/>
                <w:sz w:val="24"/>
                <w:szCs w:val="24"/>
              </w:rPr>
              <w:t>LAMPIRAN</w:t>
            </w:r>
          </w:p>
          <w:p w:rsidR="00941632" w:rsidRPr="008B51D7" w:rsidRDefault="00941632" w:rsidP="008B51D7">
            <w:pPr>
              <w:spacing w:after="0" w:line="240" w:lineRule="auto"/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/>
                <w:sz w:val="24"/>
                <w:szCs w:val="24"/>
              </w:rPr>
              <w:t>KEPUTUSAN BUPATI BARITO TIMUR</w:t>
            </w:r>
          </w:p>
          <w:p w:rsidR="00941632" w:rsidRPr="008B51D7" w:rsidRDefault="00941632" w:rsidP="008B51D7">
            <w:pPr>
              <w:spacing w:after="0" w:line="24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8B51D7">
              <w:rPr>
                <w:rFonts w:ascii="Bookman Old Style" w:hAnsi="Bookman Old Style"/>
                <w:b/>
                <w:sz w:val="24"/>
                <w:szCs w:val="24"/>
              </w:rPr>
              <w:t xml:space="preserve">NOMOR </w:t>
            </w:r>
            <w:r w:rsidRPr="008B51D7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180/       /HUK/</w:t>
            </w:r>
            <w:r w:rsidRPr="008B51D7">
              <w:rPr>
                <w:rFonts w:ascii="Bookman Old Style" w:hAnsi="Bookman Old Style"/>
                <w:b/>
                <w:sz w:val="24"/>
                <w:szCs w:val="24"/>
              </w:rPr>
              <w:t>2024</w:t>
            </w:r>
          </w:p>
          <w:p w:rsidR="00941632" w:rsidRPr="008B51D7" w:rsidRDefault="00941632" w:rsidP="008B51D7">
            <w:pPr>
              <w:spacing w:after="0" w:line="240" w:lineRule="auto"/>
              <w:jc w:val="both"/>
              <w:rPr>
                <w:rFonts w:ascii="Bookman Old Style" w:hAnsi="Bookman Old Style"/>
                <w:bCs/>
                <w:sz w:val="24"/>
                <w:szCs w:val="24"/>
                <w:lang w:val="en-US"/>
              </w:rPr>
            </w:pPr>
            <w:r w:rsidRPr="008B51D7">
              <w:rPr>
                <w:rFonts w:ascii="Bookman Old Style" w:hAnsi="Bookman Old Style"/>
                <w:b/>
                <w:sz w:val="24"/>
                <w:szCs w:val="24"/>
              </w:rPr>
              <w:t xml:space="preserve">TENTANG </w:t>
            </w:r>
            <w:r w:rsidRPr="008B51D7">
              <w:rPr>
                <w:rFonts w:ascii="Bookman Old Style" w:hAnsi="Bookman Old Style"/>
                <w:b/>
                <w:bCs/>
                <w:sz w:val="24"/>
                <w:szCs w:val="24"/>
                <w:lang w:val="en-US"/>
              </w:rPr>
              <w:t>PETA RENCANA SISTEM PEMERINTAHAN BERBASIS ELEKTRONIK</w:t>
            </w:r>
            <w:r w:rsidRPr="008B51D7">
              <w:rPr>
                <w:rFonts w:ascii="Bookman Old Style" w:hAnsi="Bookman Old Style"/>
                <w:b/>
                <w:bCs/>
                <w:sz w:val="24"/>
                <w:szCs w:val="24"/>
                <w:lang w:val="id-ID"/>
              </w:rPr>
              <w:t xml:space="preserve"> </w:t>
            </w:r>
            <w:r w:rsidRPr="008B51D7">
              <w:rPr>
                <w:rFonts w:ascii="Bookman Old Style" w:hAnsi="Bookman Old Style"/>
                <w:b/>
                <w:bCs/>
                <w:sz w:val="24"/>
                <w:szCs w:val="24"/>
                <w:lang w:val="en-US"/>
              </w:rPr>
              <w:t>KABUPATEN BARITO TIMUR TAHUN 2024-2026</w:t>
            </w:r>
          </w:p>
        </w:tc>
      </w:tr>
    </w:tbl>
    <w:p w:rsidR="00941632" w:rsidRPr="008B51D7" w:rsidRDefault="00941632" w:rsidP="00941632">
      <w:pPr>
        <w:spacing w:after="0" w:line="240" w:lineRule="auto"/>
        <w:rPr>
          <w:sz w:val="24"/>
          <w:szCs w:val="24"/>
          <w:lang w:val="en-US"/>
        </w:rPr>
      </w:pPr>
      <w:r w:rsidRPr="008B51D7">
        <w:rPr>
          <w:sz w:val="24"/>
          <w:szCs w:val="24"/>
          <w:lang w:val="id-ID"/>
        </w:rPr>
        <w:fldChar w:fldCharType="begin"/>
      </w:r>
      <w:r w:rsidRPr="008B51D7">
        <w:rPr>
          <w:sz w:val="24"/>
          <w:szCs w:val="24"/>
          <w:lang w:val="id-ID"/>
        </w:rPr>
        <w:instrText xml:space="preserve"> LINK Excel.Sheet.12 "G:\\MANIFES\\SPBE WORK\\bid-egov\\DATA DUKUNG SPBE\\Evidence Bartim 2024\\Domain 2 Tata Kelola SPBE\\12\\Level 3\\Lampiran Peta Rencana SPBE 2024.xlsx" "Sheet1!R3C1:R31C9" \a \f 4 \h  \* MERGEFORMAT </w:instrText>
      </w:r>
      <w:r w:rsidRPr="008B51D7">
        <w:rPr>
          <w:sz w:val="24"/>
          <w:szCs w:val="24"/>
          <w:lang w:val="id-ID"/>
        </w:rPr>
        <w:fldChar w:fldCharType="separate"/>
      </w:r>
    </w:p>
    <w:p w:rsidR="00941632" w:rsidRPr="008B51D7" w:rsidRDefault="00941632" w:rsidP="00941632">
      <w:pPr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  <w:r w:rsidRPr="008B51D7">
        <w:rPr>
          <w:rFonts w:ascii="Bookman Old Style" w:hAnsi="Bookman Old Style"/>
          <w:sz w:val="24"/>
          <w:szCs w:val="24"/>
          <w:lang w:val="id-ID"/>
        </w:rPr>
        <w:fldChar w:fldCharType="end"/>
      </w:r>
    </w:p>
    <w:p w:rsidR="00941632" w:rsidRPr="008B51D7" w:rsidRDefault="00941632" w:rsidP="00941632">
      <w:pPr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tbl>
      <w:tblPr>
        <w:tblStyle w:val="TableGrid"/>
        <w:tblW w:w="17318" w:type="dxa"/>
        <w:tblLayout w:type="fixed"/>
        <w:tblLook w:val="04A0" w:firstRow="1" w:lastRow="0" w:firstColumn="1" w:lastColumn="0" w:noHBand="0" w:noVBand="1"/>
      </w:tblPr>
      <w:tblGrid>
        <w:gridCol w:w="679"/>
        <w:gridCol w:w="705"/>
        <w:gridCol w:w="709"/>
        <w:gridCol w:w="5827"/>
        <w:gridCol w:w="2023"/>
        <w:gridCol w:w="1756"/>
        <w:gridCol w:w="125"/>
        <w:gridCol w:w="1748"/>
        <w:gridCol w:w="95"/>
        <w:gridCol w:w="1778"/>
        <w:gridCol w:w="65"/>
        <w:gridCol w:w="1808"/>
      </w:tblGrid>
      <w:tr w:rsidR="00941632" w:rsidRPr="008B51D7" w:rsidTr="0049429B">
        <w:trPr>
          <w:trHeight w:val="264"/>
        </w:trPr>
        <w:tc>
          <w:tcPr>
            <w:tcW w:w="679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Cs/>
                <w:sz w:val="24"/>
                <w:szCs w:val="24"/>
                <w:lang w:val="en-US"/>
              </w:rPr>
            </w:pPr>
            <w:r w:rsidRPr="008B51D7">
              <w:rPr>
                <w:rFonts w:ascii="Bookman Old Style" w:hAnsi="Bookman Old Style"/>
                <w:bCs/>
                <w:sz w:val="24"/>
                <w:szCs w:val="24"/>
              </w:rPr>
              <w:t>No.</w:t>
            </w:r>
          </w:p>
        </w:tc>
        <w:tc>
          <w:tcPr>
            <w:tcW w:w="7241" w:type="dxa"/>
            <w:gridSpan w:val="3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Cs/>
                <w:i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Cs/>
                <w:i/>
                <w:sz w:val="24"/>
                <w:szCs w:val="24"/>
              </w:rPr>
              <w:t>Project/Activities</w:t>
            </w:r>
          </w:p>
        </w:tc>
        <w:tc>
          <w:tcPr>
            <w:tcW w:w="2023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Cs/>
                <w:sz w:val="24"/>
                <w:szCs w:val="24"/>
              </w:rPr>
              <w:t>Penanggung jawab</w:t>
            </w:r>
          </w:p>
        </w:tc>
        <w:tc>
          <w:tcPr>
            <w:tcW w:w="1756" w:type="dxa"/>
            <w:shd w:val="clear" w:color="auto" w:fill="D9D9D9" w:themeFill="background1" w:themeFillShade="D9"/>
            <w:vAlign w:val="center"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Cs/>
                <w:sz w:val="24"/>
                <w:szCs w:val="24"/>
              </w:rPr>
              <w:t>Baseline</w:t>
            </w:r>
          </w:p>
        </w:tc>
        <w:tc>
          <w:tcPr>
            <w:tcW w:w="5619" w:type="dxa"/>
            <w:gridSpan w:val="6"/>
            <w:shd w:val="clear" w:color="auto" w:fill="D9D9D9" w:themeFill="background1" w:themeFillShade="D9"/>
            <w:noWrap/>
            <w:vAlign w:val="center"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Cs/>
                <w:sz w:val="24"/>
                <w:szCs w:val="24"/>
              </w:rPr>
              <w:t>Target</w:t>
            </w:r>
          </w:p>
        </w:tc>
      </w:tr>
      <w:tr w:rsidR="00941632" w:rsidRPr="008B51D7" w:rsidTr="0049429B">
        <w:trPr>
          <w:trHeight w:val="264"/>
        </w:trPr>
        <w:tc>
          <w:tcPr>
            <w:tcW w:w="679" w:type="dxa"/>
            <w:vMerge/>
            <w:shd w:val="clear" w:color="auto" w:fill="D9D9D9" w:themeFill="background1" w:themeFillShade="D9"/>
            <w:vAlign w:val="center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7241" w:type="dxa"/>
            <w:gridSpan w:val="3"/>
            <w:vMerge/>
            <w:shd w:val="clear" w:color="auto" w:fill="D9D9D9" w:themeFill="background1" w:themeFillShade="D9"/>
            <w:vAlign w:val="center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2023" w:type="dxa"/>
            <w:vMerge/>
            <w:shd w:val="clear" w:color="auto" w:fill="D9D9D9" w:themeFill="background1" w:themeFillShade="D9"/>
            <w:vAlign w:val="center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756" w:type="dxa"/>
            <w:shd w:val="clear" w:color="auto" w:fill="D9D9D9" w:themeFill="background1" w:themeFillShade="D9"/>
            <w:vAlign w:val="center"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Cs/>
                <w:sz w:val="24"/>
                <w:szCs w:val="24"/>
              </w:rPr>
              <w:t>2023</w:t>
            </w:r>
          </w:p>
        </w:tc>
        <w:tc>
          <w:tcPr>
            <w:tcW w:w="1873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Cs/>
                <w:sz w:val="24"/>
                <w:szCs w:val="24"/>
              </w:rPr>
              <w:t>2024</w:t>
            </w:r>
          </w:p>
        </w:tc>
        <w:tc>
          <w:tcPr>
            <w:tcW w:w="1873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Cs/>
                <w:sz w:val="24"/>
                <w:szCs w:val="24"/>
              </w:rPr>
              <w:t>2025</w:t>
            </w:r>
          </w:p>
        </w:tc>
        <w:tc>
          <w:tcPr>
            <w:tcW w:w="1873" w:type="dxa"/>
            <w:gridSpan w:val="2"/>
            <w:shd w:val="clear" w:color="auto" w:fill="D9D9D9" w:themeFill="background1" w:themeFillShade="D9"/>
            <w:noWrap/>
            <w:vAlign w:val="center"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Cs/>
                <w:sz w:val="24"/>
                <w:szCs w:val="24"/>
              </w:rPr>
              <w:t>2026</w:t>
            </w:r>
          </w:p>
        </w:tc>
      </w:tr>
      <w:tr w:rsidR="00941632" w:rsidRPr="008B51D7" w:rsidTr="0049429B">
        <w:trPr>
          <w:trHeight w:val="276"/>
        </w:trPr>
        <w:tc>
          <w:tcPr>
            <w:tcW w:w="679" w:type="dxa"/>
            <w:shd w:val="clear" w:color="auto" w:fill="D9D9D9" w:themeFill="background1" w:themeFillShade="D9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D9D9D9" w:themeFill="background1" w:themeFillShade="D9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D9D9D9" w:themeFill="background1" w:themeFillShade="D9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756" w:type="dxa"/>
            <w:shd w:val="clear" w:color="auto" w:fill="D9D9D9" w:themeFill="background1" w:themeFillShade="D9"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73" w:type="dxa"/>
            <w:gridSpan w:val="2"/>
            <w:shd w:val="clear" w:color="auto" w:fill="D9D9D9" w:themeFill="background1" w:themeFillShade="D9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73" w:type="dxa"/>
            <w:gridSpan w:val="2"/>
            <w:shd w:val="clear" w:color="auto" w:fill="D9D9D9" w:themeFill="background1" w:themeFillShade="D9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73" w:type="dxa"/>
            <w:gridSpan w:val="2"/>
            <w:shd w:val="clear" w:color="auto" w:fill="D9D9D9" w:themeFill="background1" w:themeFillShade="D9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941632" w:rsidRPr="008B51D7" w:rsidTr="0049429B">
        <w:trPr>
          <w:trHeight w:val="264"/>
        </w:trPr>
        <w:tc>
          <w:tcPr>
            <w:tcW w:w="17318" w:type="dxa"/>
            <w:gridSpan w:val="1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SASARAN PROGRAM/KEGIATAN STRATEGIS: MENINGKATNYA PEMBANGUNAN SPBE</w:t>
            </w:r>
          </w:p>
        </w:tc>
      </w:tr>
      <w:tr w:rsidR="00941632" w:rsidRPr="008B51D7" w:rsidTr="0049429B">
        <w:trPr>
          <w:trHeight w:val="264"/>
        </w:trPr>
        <w:tc>
          <w:tcPr>
            <w:tcW w:w="1384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Indikator</w:t>
            </w:r>
          </w:p>
        </w:tc>
        <w:tc>
          <w:tcPr>
            <w:tcW w:w="10315" w:type="dxa"/>
            <w:gridSpan w:val="4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Presentase Perangkat Daerah yang menerapkan SPBE</w:t>
            </w:r>
          </w:p>
        </w:tc>
        <w:tc>
          <w:tcPr>
            <w:tcW w:w="187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50%</w:t>
            </w:r>
          </w:p>
        </w:tc>
        <w:tc>
          <w:tcPr>
            <w:tcW w:w="187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75%</w:t>
            </w:r>
          </w:p>
        </w:tc>
        <w:tc>
          <w:tcPr>
            <w:tcW w:w="187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100%</w:t>
            </w:r>
          </w:p>
        </w:tc>
      </w:tr>
      <w:tr w:rsidR="00941632" w:rsidRPr="008B51D7" w:rsidTr="0049429B">
        <w:trPr>
          <w:trHeight w:val="264"/>
        </w:trPr>
        <w:tc>
          <w:tcPr>
            <w:tcW w:w="17318" w:type="dxa"/>
            <w:gridSpan w:val="1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INISIATIF STRATEGIS ARSITEKTUR SPBE IPPD: Perencanaan Strategis, Teknologi Informasi, Komunikasi, dan Penyelenggaraan SPBE</w:t>
            </w:r>
          </w:p>
        </w:tc>
      </w:tr>
      <w:tr w:rsidR="00941632" w:rsidRPr="008B51D7" w:rsidTr="006765B3">
        <w:trPr>
          <w:trHeight w:val="264"/>
        </w:trPr>
        <w:tc>
          <w:tcPr>
            <w:tcW w:w="679" w:type="dxa"/>
            <w:tcBorders>
              <w:bottom w:val="single" w:sz="4" w:space="0" w:color="000000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A.</w:t>
            </w:r>
          </w:p>
        </w:tc>
        <w:tc>
          <w:tcPr>
            <w:tcW w:w="7241" w:type="dxa"/>
            <w:gridSpan w:val="3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Tata Kelola SPBE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B20E55">
        <w:trPr>
          <w:trHeight w:val="1385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1.</w:t>
            </w:r>
          </w:p>
        </w:tc>
        <w:tc>
          <w:tcPr>
            <w:tcW w:w="6536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Penyusunan Arsitektur SPBE</w:t>
            </w:r>
          </w:p>
        </w:tc>
        <w:tc>
          <w:tcPr>
            <w:tcW w:w="2023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Bapplitbangda, Diskominfops dan Bagian Organisasi Setda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Keputusan Bupati, Dokumen Arsitektur, Dokumentasi Sosialisasi</w:t>
            </w:r>
          </w:p>
        </w:tc>
        <w:tc>
          <w:tcPr>
            <w:tcW w:w="1843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</w:t>
            </w:r>
          </w:p>
        </w:tc>
        <w:tc>
          <w:tcPr>
            <w:tcW w:w="1808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Tindak Lanjut Reviu</w:t>
            </w:r>
          </w:p>
        </w:tc>
      </w:tr>
      <w:tr w:rsidR="00941632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Arsitektur Proses Bisnis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Arsitektur Layanan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Arsitektur Data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Arsitektur Aplikasi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Arsitektur Infrastruktur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Arsitektur Keamanan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7.</w:t>
            </w:r>
          </w:p>
        </w:tc>
        <w:tc>
          <w:tcPr>
            <w:tcW w:w="5827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Finalisasi dan Penetapan Dokumen Kebijakan Arsitektur SPBE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8.</w:t>
            </w:r>
          </w:p>
        </w:tc>
        <w:tc>
          <w:tcPr>
            <w:tcW w:w="5827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 Kebijakan Arsitektur SPBE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9.</w:t>
            </w:r>
          </w:p>
        </w:tc>
        <w:tc>
          <w:tcPr>
            <w:tcW w:w="5827" w:type="dxa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kebijakan Arsitektur SPBE</w:t>
            </w:r>
          </w:p>
        </w:tc>
        <w:tc>
          <w:tcPr>
            <w:tcW w:w="2023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941632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10.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Pembaharuan kebijakan Arsitektur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941632" w:rsidRPr="008B51D7" w:rsidRDefault="00941632" w:rsidP="008B51D7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941632" w:rsidRPr="008B51D7" w:rsidRDefault="00941632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276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276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B51D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7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B51D7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B51D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B51D7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B51D7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B20E55">
        <w:trPr>
          <w:trHeight w:val="1056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2.</w:t>
            </w:r>
          </w:p>
        </w:tc>
        <w:tc>
          <w:tcPr>
            <w:tcW w:w="6536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Penyusunan Peta Rencana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Bapplitbangda, Diskominfops dan Bagian Organisasi Setda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Keputusan Bupati, Dokumen Peta Rencana SPBE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 dan Tindak Lanjut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Identifikasi dan Analisis terhadap Dokumen RPJMD, Renstra Organisasi, RPD, dan dokumen lainnya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Dokumen Peta Rencana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Finalisasi dan Penetapan Dokumen Kebijakan Peta Rencana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 Kebijakan Peta Rencana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kebijakan Peta Rencana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Pembaharuan kebijakan Peta Rencana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17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3.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Sinkronisasi Rencana dan Anggaran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Bapplitbangda, Diskominfops, BPKAD, TAPD dan Seluruh Perangkat Daerah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SOP, Lembar Konsultasi,</w:t>
            </w: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br/>
              <w:t>DPA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DPA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DPA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SOP Koordinasi dan Konsultasi Rencana Anggaran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Identifikasi kebutuhan rencana dan anggaran SPBE Perangkat Daerah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Koordinasi dan Konsultasi Rencana Anggaran SPBE Perangkat Daerah Kepada Bapplitbangda, Diskominfops, dan BPKAD terkait penganggaran 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Pembahasan dan Pengajuan usulan Rencana Anggaran SPBE kepada TAPD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40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408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1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rencana dan anggaran SPBE oleh Perangkat Daerah secara terpadu dan terkendali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Melaksanakan reviu dan evaluasi atas Rencana dan Anggaran SPBE secara periodik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05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4.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Penyusunan Proses Bisnis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 dan Bagian Organisasi Setda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Proses Bisnis,</w:t>
            </w: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br/>
              <w:t>Keputusan Bupati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Keputusan Bupati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Persiapan dan Studi Dokumen Proses Bisnis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Analisis Dokumen RPJMD, Renstra Organisasi, RPD, Tupoksi, SOTK dan lainnya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dokumen Proses Bisnis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32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 xml:space="preserve">Finalisasi dan Penetapan Dokumen Kebijakan Proses Bisnis 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 xml:space="preserve">Sosialisasi Kebijakan Proses Bisnis 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kebijakan Proses Bisnis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7.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Pembaharuan kebijakan Proses Bisnis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05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5.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Perencanaan dan Pembangunan Aplikasi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 dan Seluruh Perangkat Daerah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SOP, Dokumentasi Pembangunan Aplikasi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Pembangunan Aplikasi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Pembangunan Aplikasi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SOP Koordinasi dan Konsultasi Pembangunan/Pengembangan Aplikasi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Persiapan dan identifikasi kebutuhan pembangunan aplikasi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perencanaan dan pengganggaran pembangunan/pengembangan aplikasi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Koordinasi dan konsultasi pembangunan/pengembangan aplikasi dengan Diskominfops Kab. Barito Timur yang menjalankan fungsi pengelolaan 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Pengajuan usulan rencana dan anggaran pembangunan/pengembangan aplikasi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105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pembangunan dan pengembangan aplikasi yang didalamnya telah mencakup siklus pembangunan/pengembangan aplikasi yang sudah dikonsultasikan dan didokumentasikan secara formal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7.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dan evaluasi secara periodik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15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6.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Penyediaan Layanan Pusat Data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SOP, Dokumentasi Kegiatan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Monitoring,</w:t>
            </w: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br/>
              <w:t>Dokumen Reviu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Monitoring,</w:t>
            </w: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br/>
              <w:t>Dokumen Tindak Lanjut Reviu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SOP layanan pusat data/pusat komputasi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 SOP layanan pusat data/pusat komputasi kepada seluruh perangkat daerah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Perencanaan dan kerjasama pembangunan/pengembangan pusat data/pusat komputasi dan pusat kendali pemerintah daerah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Koordinasi pemanfaatan layanan pusat data/pusat komputasi yang disediakan oleh pemerintah daerah dan pusat data pemerintah pusat yang dikelola daerah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792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408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1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Interkoneksi layanan pusat data/pusat komputasi pemerintah daerah dengan layanan Pusat Data Pemerintah Pusat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Monitoring dan pemantauan atas kinerja pusat data/pusat komputasi Pemerintah daerah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7.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dan evaluasi layanan pusat/pusat komputasi data secara periodik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8.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Perbaikan atau peningkatan layanan pusat data/pusat komputasi sebagai tindaklanjut atas reviu dan evaluasi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32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7.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Penyediaan Jaringan Intra Pemerintah Daerah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Kegiatan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Kegiatan, Dokumen PKS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Reviu, Dokumen Tindak Lanjut Reviu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Persiapan dan identifikasi kebutuhan pembangunan jaringan intra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105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Koordinasi/konsultasi dan kerjasama pembangunan/ pengembangan jaringan intra dengan pihak ISP/Provider, Pemerintah Provinsi Kalimantan Tengah, dan Pemerintah Pusat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jaringan intra Pemerintah Kabupaten Barito Timur dengan layanan jaringan intra Pemerintah Provinsi Kalimantan Tengah dan Pemerintah Pusat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Monitoring dan pemantauan atas kinerja jaringan intra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dan evaluasi layanan jaringan intra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660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Perbaikan atau peningkatan layanan jaringan intra sebagai tindaklanjut atas reviu dan evaluasi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124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124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124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B20E55">
        <w:trPr>
          <w:trHeight w:val="792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8.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Penyelenggaraan Sistem Penghubung Layanan Pemerintah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SOP, Dokumentasi Kegiatan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 Data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</w:t>
            </w:r>
          </w:p>
        </w:tc>
      </w:tr>
      <w:tr w:rsidR="008E622A" w:rsidRPr="008B51D7" w:rsidTr="00B20E55">
        <w:trPr>
          <w:trHeight w:val="42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SOP sistem penghubung layanan pemerintah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 SOP sistem penghubung layanan SPBE kepada seluruh perangkat daerah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Koordinasi pemanfaatan sistem penghubung layanan yang disediakan oleh pemerintah daerah maupun pemerintahan pusat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105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Integrasi/interoperabilitas data pada sistem penghubung layanan Pemerintah yang tersedia sesuai kebutuhan dengan sistem elektronik yang diselenggarakan pemerintah Daerah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Monitoring dan pemantauan atas kinerja sistem penghubung layanan yang terintegrasi dengan Pemerintah Daerah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dan evaluasi layanan sistem penghubung layanan pemerintah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7.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Perbaikan atau peningkatan layanan sistem penghubung layanan sebagai tindaklanjut atas reviu dan evaluasi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32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9.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Monitoring dan Evaluasi Kinerja Tim Koordinasi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Tim Koordinasi SPBE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Rencana Kerja, Dokumen Pelaporan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Tindak Lanjut Reviu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program kerja Tim Koordinasi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372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Perumusan isu-isu strategis terhadap perkembangan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77532C">
        <w:trPr>
          <w:trHeight w:val="372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372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372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327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Koordinasi dan konsolidasi pelaksanaan tugas/program kerja Tim Koordinasi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dan evaluasi atas tugas/program kerja Tim Koordinasi SPBE tahun sebelumnya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Perbaikan dan peningkatan tugas/program kerja sebagai tindaklanjut hasil reviu dan evaluasi secara keseluruhan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32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10.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Kolaborasi Penerapan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 dan Perangkat Daerah terkait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Kerjasama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Kerjasama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Reviu, Dokumen Tindak Lanjut Reviu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Identifikasi layanan SPBE yang telah dilaksanakan dengan metode kolaborasi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Perencanaan dan program kerja kolaborasi penerapan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MoU/PKS dengan perangkat daerah terkait kolaborasi penerapan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Kerjasama pengembangan/pembangunan sistem elektronik dalam rangka penerapan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dan evaluasi terhadap kerjasama penerapan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Perbaikan dan peningkatan kolaborasi penerapan SPBE sebagai tindak lanjut hasil reviu dan evaluasi secara keseluruhan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49429B">
        <w:trPr>
          <w:trHeight w:val="264"/>
        </w:trPr>
        <w:tc>
          <w:tcPr>
            <w:tcW w:w="67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B.</w:t>
            </w:r>
          </w:p>
        </w:tc>
        <w:tc>
          <w:tcPr>
            <w:tcW w:w="7241" w:type="dxa"/>
            <w:gridSpan w:val="3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Manajemen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</w:tr>
      <w:tr w:rsidR="008E622A" w:rsidRPr="008B51D7" w:rsidTr="0077532C">
        <w:trPr>
          <w:trHeight w:val="1320"/>
        </w:trPr>
        <w:tc>
          <w:tcPr>
            <w:tcW w:w="67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1.</w:t>
            </w:r>
          </w:p>
        </w:tc>
        <w:tc>
          <w:tcPr>
            <w:tcW w:w="6536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Manajemen Resiko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Inspektorat, Diskominfops, dan Seluruh Perangkat Daerah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Perbup/ Kepbup, Dokumen Manajemen Risiko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Kegiatan, Dokumen Pelaporan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Pelaporan</w:t>
            </w:r>
          </w:p>
        </w:tc>
      </w:tr>
      <w:tr w:rsidR="008E622A" w:rsidRPr="008B51D7" w:rsidTr="0077532C">
        <w:trPr>
          <w:trHeight w:val="124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6536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124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65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124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945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dokumen pedoman Manajemen Risiko SPBE yang berisi kerangka manajemen risiko SPBE, proses manajemen risiko SPBE, dan struktur manajemen risiko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dan pelaksanaan rencana program dan kegiatan pelaksanaan manajemen resiko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Penerapan manajemen risiko melalui komunikasi dan konsultasi dengan melaksanakan rapat berkala dan FGD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Penetapan konteks risiko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identifikasi risiko SPBE dengan menguraikan jenis risiko SPBE, penyebab, kategori, dampak, area dampak, dan mitigasi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analisis risiko SPBE dengan menguraikan kemungkinan dan dampak yang ditimbulkan serta level risiko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7.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evaluasi risiko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8.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penanganan risiko SPBE dengan menguraikan opsi, rencana aksi penanganan risiko, output, jadwal implementasi, dan penanggung jawab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9.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dan penetapan kebijakan Manajemen Risiko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10.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Sosialisasi, pelatihan, bimbingan, dan supervisi manajemen risiko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11.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laporan Manajemen Risiko SPBE secara periodik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7532C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301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B20E55">
        <w:trPr>
          <w:trHeight w:val="1056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2.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Manajemen Keamanan Informasi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 xml:space="preserve">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SOP, Perbup/ Kepbup, Dokumen Manajemen KI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Kegiatan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Kegiatan</w:t>
            </w:r>
          </w:p>
        </w:tc>
      </w:tr>
      <w:tr w:rsidR="008E622A" w:rsidRPr="008B51D7" w:rsidTr="00B20E55">
        <w:trPr>
          <w:trHeight w:val="132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Identifikasi dan menginventarisasi seluruh aset SPBE (data, informasi, aplikasi, dan infrastruktur), pelaksanaan identifikasi kerentanan dan ancaman terhadap aset SPBE, mengukur tingkat keamanan risiko SPBE oleh unit pemilik risiko/perangkat daerah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dokumen pedoman keamanan informasi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dokumen perencanaan keamanan informasi SPBE yang memuat program kerja berdasarakan kategori risiko SPBE dan target realisasi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standar teknis dan SOP keamanan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dan Penetapan dokumen manajemen keamanan informasi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Sosialisasi, pelatihan, bimbingan, dan supervisi keamanan informasi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B20E55">
        <w:trPr>
          <w:trHeight w:val="1848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3.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Manajemen Data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Bapplitbangda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Arsitektur Data, Perbup/ Kepbup, Dokumen Manajemen Data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Data dan Aplikasi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Perencanaan Data Induk dan Data Referensi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Pengumpulan Data Induk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Pemeriksaan Data Induk dan Data Referensi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dan Penetapan Dokumen Pedoman Manajemen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31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Publikasi/Diseminasi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dan Pemutakhiran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413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4.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Manajemen Aset TIK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BPKAD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Data Aset TIK, Perbup/ Kepbup, Dokumen Manajemen Aset TIK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 dan Tindak Lanjut Reviu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 dan Tindak Lanjut Reviu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Inventarisasi aset SPBE (data, informasi, aplikasi, dan infrastruktur)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105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dan Penetapan pedoman teknis penerapan manajemen Aset TIK terdiri dari Perencanaan, Pengadaan, Penggunaan, Pemeliharaan, Pengamanan, dan Penghapusan Aset 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dan evaluasi manajemen Aset 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Perbaikan atau peningkatan manajemen Aset TIK sebagai tindak lanjut atas reviu dan evaluasi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266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B20E55">
        <w:trPr>
          <w:trHeight w:val="2800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5.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Manajemen Kompetensi SDM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BKPSDM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Anjab ABK, Peta Jabatan bidang TIK, Rencana Pembinan Kompetensi TIK, Perbup/ Kepbup, Dokumen Manajemen Kompetensi SDM SPBE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Pembinaan Kompetensi TIK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Pembinaan Kompetensi TIK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Injab, Anjab, ABK, dan Peta Jabatan SDM bidang 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Analisis kebutuhan pelatihan bagi SDM bidang 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dan Penetapan Pedoman manajemen SDM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Perencanaan pengembangan kompetensi SDM bidang 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B20E55">
        <w:trPr>
          <w:trHeight w:val="44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Pengembangan kompetensi SDM bidang 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32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6.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Manajemen Pengetahuan SDM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BKPSDM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Perbup/ Kepbup, Dokumen Manajemen Pengetahuan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 dan Tindak Lanjut Reviu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 dan Tindak Lanjut Reviu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dan Penetapan dokumen pedoman Manajemen Pengetahuan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339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program kerja Manajemen Pengetahuan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reviu dan evaluasi atas program kerja Manajemen Pengetahuan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266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6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B20E55">
        <w:trPr>
          <w:trHeight w:val="900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Perbaikan dan peningkatan atas manajemen pengetahuan sebagai tindak lanjut atas reviu dan evaluasi atas program kerja Manajemen Pengetahuan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363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7.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Manajemen Perubahan SDM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Bagian Organisasi Setda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Perbup/ Kepbup, Dokumen Manajemen Perubahan SPBE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 dan Tindak Lanjut Reviu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 dan Tindak Lanjut Reviu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dan Penetapan dokumen pedoman Manajemen Perubahan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339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program kerja Manajemen Perubahan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dan evaluasi atas Manajemen Perubahan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90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Perbaikan dan peningkatan atas manajemen perubahan sebagai tindak lanjut atas reviu dan evaluasi atas program kerja Manajemen perubaan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32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8.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Manajemen Layanan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Perbup/ Kepbup, Dokumentasi Manajemen Layanan SPBE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 dan Tindak Lanjut Reviu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Reviu dan Tindak Lanjut Reviu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Pembentukan Tim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program kerja Manajemen Layanan SPBE terhadap layanan publik dan layanan administrasi pemerintahan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 dan konsolidasi penguatan peran Tim Helpdesk Layanan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266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Reviu dan evaluasi atas Manajemen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90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Perbaikan dan peningkatan atas manajemen Layanan SPBE sebagai tindaklanjut atas reviu dan evaluasi atas program kerja Manajemen Layanan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264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9.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Pelaksanaan Audit Infrastruktur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Inspektorat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Perbup/ Kepbup/Kep. Sekda, Dokumentasi Pelaksanaan Audit, Dokumen Audit Infrastruktur SPBE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Audit Infrastruktur SPBE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Hasil Evaluasi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Penetapan Tim Pelaksana Audit Infrastruktur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 xml:space="preserve">Pengajuan akses akun audit tools Infrastruktur SPBE pada </w:t>
            </w:r>
            <w:hyperlink r:id="rId6" w:history="1">
              <w:r w:rsidRPr="008B51D7">
                <w:rPr>
                  <w:rStyle w:val="Hyperlink"/>
                  <w:rFonts w:ascii="Bookman Old Style" w:hAnsi="Bookman Old Style"/>
                  <w:b w:val="0"/>
                  <w:sz w:val="24"/>
                  <w:szCs w:val="24"/>
                </w:rPr>
                <w:t>layanan.auditspbe@brin.go.id</w:t>
              </w:r>
            </w:hyperlink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Audit Infrastruktur SPBE, Analisis, dan Pengelolaan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Laporan, Evaluasi, dan Tindak lanjut Audit Infrastruktur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B20E55">
        <w:trPr>
          <w:trHeight w:val="2185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10.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Pelaksanaan Audit Aplikasi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Inspektorat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Perbup/ Kepbup/Kep. Sekda, Dokumentasi Pelaksanaan Audit, Dokumen Audit Aplikasi SPBE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Audit Aplikasi SPBE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Hasil Evaluasi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Penetapan Tim Pelaksana Audit Aplikasi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 xml:space="preserve">Pengajuan akses akun audit tools Aplikasi SPBE pada </w:t>
            </w:r>
            <w:hyperlink r:id="rId7" w:history="1">
              <w:r w:rsidRPr="008B51D7">
                <w:rPr>
                  <w:rStyle w:val="Hyperlink"/>
                  <w:rFonts w:ascii="Bookman Old Style" w:hAnsi="Bookman Old Style"/>
                  <w:b w:val="0"/>
                  <w:sz w:val="24"/>
                  <w:szCs w:val="24"/>
                </w:rPr>
                <w:t>layanan.auditspbe@brin.go.id</w:t>
              </w:r>
            </w:hyperlink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Audit Aplikasi SPBE, Analisis, dan Pengelolaan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Laporan, Evaluasi, dan Tindak lanjut Audit Aplikasi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2405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11.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Pelaksanaan Audit Keamanan SPBE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Inspektorat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Perbup/ Kepbup/Kep. Sekda, Dokumentasi Pelaksanaan Audit, Dokumen Audit Keamanan SPBE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Audit Keamanan SPBE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Hasil Evaluasi</w:t>
            </w:r>
          </w:p>
        </w:tc>
      </w:tr>
      <w:tr w:rsidR="008E622A" w:rsidRPr="008B51D7" w:rsidTr="00B20E55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Penetapan Tim Pelaksana Audit Keamanan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Pengajuan audit Keamanan SPBE kepada Badan Siber dan Sandi Negara (BSSN) RI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Audit Keamanan SPBE, Analisis, dan Pengelolaan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Laporan, Evaluasi, dan Tindak lanjut Audit Keamanan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264"/>
        </w:trPr>
        <w:tc>
          <w:tcPr>
            <w:tcW w:w="67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C.</w:t>
            </w:r>
          </w:p>
        </w:tc>
        <w:tc>
          <w:tcPr>
            <w:tcW w:w="7241" w:type="dxa"/>
            <w:gridSpan w:val="3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</w:tr>
      <w:tr w:rsidR="008E622A" w:rsidRPr="008B51D7" w:rsidTr="00B20E55">
        <w:trPr>
          <w:trHeight w:val="792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Perencanaan dan Penganggaran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Bapplitbangda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Panduan Aplikasi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SIPD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6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perencanaan dan anggaran menggunakan Aplikasi SIPD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SIPD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SIPD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SIPD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2.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Keuangan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BPKAD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Panduan Aplikasi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SIMDA-NG FMIS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61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keuangan menggunakan Aplikasi SIMDA-NG FMIS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SIMDA-NG FMIS dengan SSO Layanan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SIMDA-NG FMIS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B20E55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SIMDA-NG FMIS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105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3.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Pengadaan Barang dan Jasa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Bagian Pengadaan Barang dan Jasa Setda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Panduan Aplikasi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SPSE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pengadaan barang dan jasa menggunakan Aplikasi SPSE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SPSE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SPSE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SPSE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4.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Kepegawaian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BKPSDM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My SAPK BKN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624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perencanan dan pelaporan implementasi layanan kepegawaian menggunakan Aplikasi My SAPK BKN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77532C">
        <w:trPr>
          <w:trHeight w:val="624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My SAPK BKN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My SAPK BKN dengan Helpdesk Layanan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B20E55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My SAPK BKN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5.</w:t>
            </w:r>
          </w:p>
        </w:tc>
        <w:tc>
          <w:tcPr>
            <w:tcW w:w="6536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Kearsipan Dinamis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Disperpusip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SRIKANDI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60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kearsipan dinamis menggunakan Aplikasi SRIKANDI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SRIKANDI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SRIKANDI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SRIKANDI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B20E55">
        <w:trPr>
          <w:trHeight w:val="68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6.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Pengelolaan Barang Milik Daerah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BPKAD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B20E55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single" w:sz="4" w:space="0" w:color="000000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SIMDA BMD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pengelolaan barang milik daerah menggunakan Aplikasi SIMDA BMD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792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6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SIMDA BMD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SIMDA BMD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SIMDA BMD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68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7.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Pengawasan Internal Pemerintah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Inspektorat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SPIP Terintegrasi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pengawasan internal pemerintah menggunakan Aplikasi SPIP Terintegrasi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SPIP Terintegrasi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SPIP Terintegrasi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SPIP Terintegrasi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88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8.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Akuntabilitas Kinerja Organisasi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Bagian Organisasi Setda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e-SAKIP REVIU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akuntabilitas kinerja organisasi menggunakan Aplikasi e-SAKIP REVIU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e-SAKIP REVIU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e-SAKIP REVIU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e-SAKIP REVIU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68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9.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Kinerja Pegawai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BKPSDM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Sosialisasi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e-Kinerja BKN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8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kinerja pegawai menggunakan Aplikasi e-Kinerja BKN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e-Kinerja BKN dengan SSO Layanan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e-Kinerja BKN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e-Kinerja BKN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68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10.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Pengaduan Pelayanan Publik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Sosialisasi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SP4N-LAPOR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6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588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pengaduan publik menggunakan Aplikasi SP4N-LAPOR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SP4N-LAPOR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SP4N-LAPOR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SP4N-LAPOR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68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11.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Data Terbuka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Open Data CKAN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60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data terbuka menggunakan Aplikasi Open Data CKAN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Open Data CKAN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Open Data CKAN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Open Data CKAN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8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12.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Jaringan Dokumentasi dan Informasi Hukum (JDIH)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Bagian Hukum Setda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JDIH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600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data terbuka menggunakan Aplikasi JDIH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124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124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124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JDIH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JDIH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JDIH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91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13.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Publik Sektor Perizinan dan Investasi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DPMPTSP dan 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OSS dan SiCANTIK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data terbuka menggunakan Aplikasi OSS dan/atau SiCANTIK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OSS dan SiCANTIK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OSS dan SiCANTIK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OSS dan SiCANTIK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1127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14.</w:t>
            </w:r>
          </w:p>
        </w:tc>
        <w:tc>
          <w:tcPr>
            <w:tcW w:w="6536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Publik Sektor Pajak dan Retribusi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Bapenda dan Diskominfops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Panduan Aplikasi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Panduan Aplikasi, Dokumentasi Layanan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77532C">
        <w:trPr>
          <w:trHeight w:val="1127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6536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65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66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SIPPBB, MyBPHTB, Retribusi dan Pajak Daerah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data terbuka menggunakan Aplikasi SIPPBB, MyBPHTB, Retribusi dan Pajak Daerah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SIPPBB, MyBPHTB, Retribusi dan Pajak Daerah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SIPPBB, MyBPHTB, Retribusi dan Pajak Daerah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SIPPBB, MyBPHTB, Retribusi dan Pajak Daerah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91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15.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Layanan Publik Sektor Telekomunikasi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Panduan Aplikasi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4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  <w:tc>
          <w:tcPr>
            <w:tcW w:w="1808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Panduan Aplikasi/Manual Book/Video Tutorial Aplikasi SIMPERA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rencana kerja dan laporan implementasi layanan data terbuka menggunakan Aplikasi SIMPERA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SIMPERA dengan SSO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Aplikasi SIMPERA dengan Helpdesk Layanan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SSO dan Helpdesk Layanan SPBE dengan Aplikasi SIMPERA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66"/>
        </w:trPr>
        <w:tc>
          <w:tcPr>
            <w:tcW w:w="679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881" w:type="dxa"/>
            <w:gridSpan w:val="2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08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264"/>
        </w:trPr>
        <w:tc>
          <w:tcPr>
            <w:tcW w:w="67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D.</w:t>
            </w:r>
          </w:p>
        </w:tc>
        <w:tc>
          <w:tcPr>
            <w:tcW w:w="7241" w:type="dxa"/>
            <w:gridSpan w:val="3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Infrastruktur SPBE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81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08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Optimalisasi Pusat Data Nasional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PDN dan Diskominfops</w:t>
            </w:r>
          </w:p>
        </w:tc>
        <w:tc>
          <w:tcPr>
            <w:tcW w:w="7375" w:type="dxa"/>
            <w:gridSpan w:val="7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Operasional dan Pemantauan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Operasionalisasi dan Pemantauan PDN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56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2.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Optimalisasi Pusat Komputasi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 dan ISP/Provider</w:t>
            </w:r>
          </w:p>
        </w:tc>
        <w:tc>
          <w:tcPr>
            <w:tcW w:w="7375" w:type="dxa"/>
            <w:gridSpan w:val="7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Operasional dan Pemantauan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Operasionalisasi dan Pemantauan Pusat Komputasi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3.</w:t>
            </w:r>
          </w:p>
        </w:tc>
        <w:tc>
          <w:tcPr>
            <w:tcW w:w="6536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Pembangunan Pusat Kendali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</w:t>
            </w:r>
          </w:p>
        </w:tc>
        <w:tc>
          <w:tcPr>
            <w:tcW w:w="1756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Perencanaan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DPA, Dokumen Kontrak Penyedia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Operasional</w:t>
            </w:r>
          </w:p>
        </w:tc>
      </w:tr>
      <w:tr w:rsidR="008E622A" w:rsidRPr="008B51D7" w:rsidTr="006765B3">
        <w:trPr>
          <w:trHeight w:val="300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Identifikasi dan Analisis terhadap kebutuhan Pusat Kendali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Perencanaan Pusat Kendali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Pembangunan Infrastruktur Pusat Kendali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Operasionalisasi Pusat Kendali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184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4.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Pembangunan Jaringan Intra Pemerintah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 dan ISP/Provider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7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Perencanaan</w:t>
            </w:r>
          </w:p>
        </w:tc>
        <w:tc>
          <w:tcPr>
            <w:tcW w:w="187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DPA, Dokumen Kontrak Penyedia, Dokumen Uji Laik Operasi dan Operasional</w:t>
            </w:r>
          </w:p>
        </w:tc>
        <w:tc>
          <w:tcPr>
            <w:tcW w:w="187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Integrasi dan Operasional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Identifikasi dan Analisis terhadap kebutuhan Pembangunan jaringan intra pemerintah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Perencanaan Pembangunan jaringan intra pemerintah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Pembangunan infrastruktur jaringan intra pemerintah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77532C">
        <w:trPr>
          <w:trHeight w:val="276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56" w:type="dxa"/>
            <w:tcBorders>
              <w:left w:val="nil"/>
              <w:bottom w:val="nil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233BD9">
        <w:trPr>
          <w:trHeight w:val="27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756" w:type="dxa"/>
            <w:shd w:val="clear" w:color="auto" w:fill="BFBFBF" w:themeFill="background1" w:themeFillShade="BF"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7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7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73" w:type="dxa"/>
            <w:gridSpan w:val="2"/>
            <w:shd w:val="clear" w:color="auto" w:fill="BFBFBF" w:themeFill="background1" w:themeFillShade="BF"/>
            <w:noWrap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Uji laik operasi jaringan intra pemerintah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Operasionalisasi jaringan intra pemerintah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7.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Integrasi jaringan intra pemerintah Barito Timur dengan pemerintahan lain baik antar kabupaten, provinsi, dan pemerintah pusat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8E622A" w:rsidRPr="008B51D7" w:rsidTr="006765B3">
        <w:trPr>
          <w:trHeight w:val="1584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5.</w:t>
            </w:r>
          </w:p>
        </w:tc>
        <w:tc>
          <w:tcPr>
            <w:tcW w:w="6536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Penyediaan Sistem Penghubung Layanan Pemerintah</w:t>
            </w:r>
          </w:p>
        </w:tc>
        <w:tc>
          <w:tcPr>
            <w:tcW w:w="2023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 dan Kementerian Kominfo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7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Perencanaan</w:t>
            </w:r>
          </w:p>
        </w:tc>
        <w:tc>
          <w:tcPr>
            <w:tcW w:w="187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DPA, Dokumen Kontrak Penyedia, Dokumen Uji layanan dan Operasional</w:t>
            </w:r>
          </w:p>
        </w:tc>
        <w:tc>
          <w:tcPr>
            <w:tcW w:w="1873" w:type="dxa"/>
            <w:gridSpan w:val="2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Operasional dan Pemantauan</w:t>
            </w: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kajian kebutuhan penerapan interoperabilitas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Perencanaan penerapan interoperabilitas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Penyusunan anggaran penerapan interoperabilitas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Pengajuan dan pendaftaran layanan interoperabilitas ke Katalog Nasional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5.</w:t>
            </w:r>
          </w:p>
        </w:tc>
        <w:tc>
          <w:tcPr>
            <w:tcW w:w="5827" w:type="dxa"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Penyediaan Infrastruktur dan Uji kualitas layanan interoperabilitas data</w:t>
            </w:r>
          </w:p>
        </w:tc>
        <w:tc>
          <w:tcPr>
            <w:tcW w:w="2023" w:type="dxa"/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8E622A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6.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Operasionalisasi dan Pemantauan sistem penghubung layanan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tcBorders>
              <w:bottom w:val="single" w:sz="4" w:space="0" w:color="000000"/>
            </w:tcBorders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8E622A" w:rsidRPr="008B51D7" w:rsidRDefault="008E622A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77532C" w:rsidRPr="008B51D7" w:rsidTr="0077532C">
        <w:trPr>
          <w:trHeight w:val="528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5827" w:type="dxa"/>
            <w:tcBorders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756" w:type="dxa"/>
            <w:tcBorders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77532C">
        <w:trPr>
          <w:trHeight w:val="528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77532C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58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7532C" w:rsidRPr="008B51D7" w:rsidRDefault="0077532C" w:rsidP="008E622A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7532C" w:rsidRPr="008B51D7" w:rsidRDefault="0077532C" w:rsidP="008E622A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233BD9">
        <w:trPr>
          <w:trHeight w:val="266"/>
        </w:trPr>
        <w:tc>
          <w:tcPr>
            <w:tcW w:w="679" w:type="dxa"/>
            <w:shd w:val="clear" w:color="auto" w:fill="BFBFBF" w:themeFill="background1" w:themeFillShade="BF"/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756" w:type="dxa"/>
            <w:shd w:val="clear" w:color="auto" w:fill="BFBFBF" w:themeFill="background1" w:themeFillShade="BF"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73" w:type="dxa"/>
            <w:gridSpan w:val="2"/>
            <w:shd w:val="clear" w:color="auto" w:fill="BFBFBF" w:themeFill="background1" w:themeFillShade="BF"/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73" w:type="dxa"/>
            <w:gridSpan w:val="2"/>
            <w:shd w:val="clear" w:color="auto" w:fill="BFBFBF" w:themeFill="background1" w:themeFillShade="BF"/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73" w:type="dxa"/>
            <w:gridSpan w:val="2"/>
            <w:shd w:val="clear" w:color="auto" w:fill="BFBFBF" w:themeFill="background1" w:themeFillShade="BF"/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77532C" w:rsidRPr="008B51D7" w:rsidTr="006765B3">
        <w:trPr>
          <w:trHeight w:val="264"/>
        </w:trPr>
        <w:tc>
          <w:tcPr>
            <w:tcW w:w="679" w:type="dxa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E.</w:t>
            </w:r>
          </w:p>
        </w:tc>
        <w:tc>
          <w:tcPr>
            <w:tcW w:w="7241" w:type="dxa"/>
            <w:gridSpan w:val="3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Aplikasi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</w:tr>
      <w:tr w:rsidR="0077532C" w:rsidRPr="008B51D7" w:rsidTr="006765B3">
        <w:trPr>
          <w:trHeight w:val="1320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1.</w:t>
            </w:r>
          </w:p>
        </w:tc>
        <w:tc>
          <w:tcPr>
            <w:tcW w:w="6536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Pembangunan/Pengembangan Aplikasi Khusus Single Sign On (SSO) Layanan SPBE</w:t>
            </w:r>
          </w:p>
        </w:tc>
        <w:tc>
          <w:tcPr>
            <w:tcW w:w="2023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 dan Perangkat Daerah terkait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 Perencanaan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Pembangunan Aplikasi, Dokumentasi Sosialisasi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Pemeliharaan</w:t>
            </w:r>
          </w:p>
        </w:tc>
      </w:tr>
      <w:tr w:rsidR="0077532C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Kajian Perencanaan Kebutuhan Aplikasi Single Sign On (SSO) Layanan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Pembangunan dan Pengujian Kelaikan Aplikasi Single Sign On (SSO) Layanan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3.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Sosialisasi/pelatihan/FGD optimalisasi pemanfaatan Aplikasi Single Sign On (SSO) Layanan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77532C" w:rsidRPr="008B51D7" w:rsidTr="006765B3">
        <w:trPr>
          <w:trHeight w:val="528"/>
        </w:trPr>
        <w:tc>
          <w:tcPr>
            <w:tcW w:w="679" w:type="dxa"/>
            <w:tcBorders>
              <w:top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4.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Operasionalisasi dan Pemeliharaan Aplikasi Single Sign On (SSO) Layanan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77532C" w:rsidRPr="008B51D7" w:rsidTr="006765B3">
        <w:trPr>
          <w:trHeight w:val="264"/>
        </w:trPr>
        <w:tc>
          <w:tcPr>
            <w:tcW w:w="679" w:type="dxa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F.</w:t>
            </w:r>
          </w:p>
        </w:tc>
        <w:tc>
          <w:tcPr>
            <w:tcW w:w="7241" w:type="dxa"/>
            <w:gridSpan w:val="3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Keamanan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</w:tr>
      <w:tr w:rsidR="0077532C" w:rsidRPr="008B51D7" w:rsidTr="006765B3">
        <w:trPr>
          <w:trHeight w:val="528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1.</w:t>
            </w:r>
          </w:p>
        </w:tc>
        <w:tc>
          <w:tcPr>
            <w:tcW w:w="6536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Optimalisasi Keamanan Infrastruktur SPBE</w:t>
            </w:r>
          </w:p>
        </w:tc>
        <w:tc>
          <w:tcPr>
            <w:tcW w:w="2023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 dan BSSN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</w:tr>
      <w:tr w:rsidR="0077532C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Penerapan layanan keamanan informasi pada infrastruktur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77532C" w:rsidRPr="008B51D7" w:rsidTr="006765B3">
        <w:trPr>
          <w:trHeight w:val="528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2.</w:t>
            </w:r>
          </w:p>
        </w:tc>
        <w:tc>
          <w:tcPr>
            <w:tcW w:w="6536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Optimalisasi Keamanan Aplikasi SPBE</w:t>
            </w:r>
          </w:p>
        </w:tc>
        <w:tc>
          <w:tcPr>
            <w:tcW w:w="2023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Diskominfops dan BSSN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Layanan</w:t>
            </w:r>
          </w:p>
        </w:tc>
      </w:tr>
      <w:tr w:rsidR="0077532C" w:rsidRPr="008B51D7" w:rsidTr="006765B3">
        <w:trPr>
          <w:trHeight w:val="372"/>
        </w:trPr>
        <w:tc>
          <w:tcPr>
            <w:tcW w:w="679" w:type="dxa"/>
            <w:tcBorders>
              <w:top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Penerapan layanan keamanan informasi pada aplikasi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77532C" w:rsidRPr="008B51D7" w:rsidTr="0049429B">
        <w:trPr>
          <w:trHeight w:val="264"/>
        </w:trPr>
        <w:tc>
          <w:tcPr>
            <w:tcW w:w="67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G.</w:t>
            </w:r>
          </w:p>
        </w:tc>
        <w:tc>
          <w:tcPr>
            <w:tcW w:w="7241" w:type="dxa"/>
            <w:gridSpan w:val="3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Audit Teknologi Informasi dan Komunikasi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</w:tr>
      <w:tr w:rsidR="0077532C" w:rsidRPr="008B51D7" w:rsidTr="0077532C">
        <w:trPr>
          <w:trHeight w:val="792"/>
        </w:trPr>
        <w:tc>
          <w:tcPr>
            <w:tcW w:w="679" w:type="dxa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1.</w:t>
            </w:r>
          </w:p>
        </w:tc>
        <w:tc>
          <w:tcPr>
            <w:tcW w:w="6536" w:type="dxa"/>
            <w:gridSpan w:val="2"/>
            <w:tcBorders>
              <w:bottom w:val="single" w:sz="4" w:space="0" w:color="000000"/>
            </w:tcBorders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Pengawasan dan Pengendalian Infrastruktur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BRIN, Inspektorat dan Diskominfops</w:t>
            </w:r>
          </w:p>
        </w:tc>
        <w:tc>
          <w:tcPr>
            <w:tcW w:w="1756" w:type="dxa"/>
            <w:tcBorders>
              <w:bottom w:val="single" w:sz="4" w:space="0" w:color="000000"/>
            </w:tcBorders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Audit, Laporan Audit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Audit, Laporan Audit</w:t>
            </w:r>
          </w:p>
        </w:tc>
      </w:tr>
      <w:tr w:rsidR="0077532C" w:rsidRPr="008B51D7" w:rsidTr="0077532C">
        <w:trPr>
          <w:trHeight w:val="792"/>
        </w:trPr>
        <w:tc>
          <w:tcPr>
            <w:tcW w:w="679" w:type="dxa"/>
            <w:tcBorders>
              <w:left w:val="nil"/>
              <w:bottom w:val="nil"/>
              <w:right w:val="nil"/>
            </w:tcBorders>
            <w:noWrap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left w:val="nil"/>
              <w:bottom w:val="nil"/>
              <w:right w:val="nil"/>
            </w:tcBorders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6536" w:type="dxa"/>
            <w:gridSpan w:val="2"/>
            <w:tcBorders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2023" w:type="dxa"/>
            <w:tcBorders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756" w:type="dxa"/>
            <w:tcBorders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</w:tr>
      <w:tr w:rsidR="0077532C" w:rsidRPr="008B51D7" w:rsidTr="0077532C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6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</w:tr>
      <w:tr w:rsidR="0077532C" w:rsidRPr="008B51D7" w:rsidTr="00233BD9">
        <w:trPr>
          <w:trHeight w:val="266"/>
        </w:trPr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65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</w:p>
        </w:tc>
      </w:tr>
      <w:tr w:rsidR="0077532C" w:rsidRPr="008B51D7" w:rsidTr="006765B3">
        <w:trPr>
          <w:trHeight w:val="269"/>
        </w:trPr>
        <w:tc>
          <w:tcPr>
            <w:tcW w:w="679" w:type="dxa"/>
            <w:tcBorders>
              <w:bottom w:val="single" w:sz="4" w:space="0" w:color="000000"/>
            </w:tcBorders>
            <w:shd w:val="clear" w:color="auto" w:fill="BFBFBF" w:themeFill="background1" w:themeFillShade="BF"/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241" w:type="dxa"/>
            <w:gridSpan w:val="3"/>
            <w:shd w:val="clear" w:color="auto" w:fill="BFBFBF" w:themeFill="background1" w:themeFillShade="BF"/>
            <w:noWrap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023" w:type="dxa"/>
            <w:shd w:val="clear" w:color="auto" w:fill="BFBFBF" w:themeFill="background1" w:themeFillShade="BF"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756" w:type="dxa"/>
            <w:shd w:val="clear" w:color="auto" w:fill="BFBFBF" w:themeFill="background1" w:themeFillShade="BF"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873" w:type="dxa"/>
            <w:gridSpan w:val="2"/>
            <w:shd w:val="clear" w:color="auto" w:fill="BFBFBF" w:themeFill="background1" w:themeFillShade="BF"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1873" w:type="dxa"/>
            <w:gridSpan w:val="2"/>
            <w:shd w:val="clear" w:color="auto" w:fill="BFBFBF" w:themeFill="background1" w:themeFillShade="BF"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873" w:type="dxa"/>
            <w:gridSpan w:val="2"/>
            <w:shd w:val="clear" w:color="auto" w:fill="BFBFBF" w:themeFill="background1" w:themeFillShade="BF"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i/>
                <w:iCs/>
                <w:sz w:val="24"/>
                <w:szCs w:val="24"/>
              </w:rPr>
              <w:t>7</w:t>
            </w:r>
          </w:p>
        </w:tc>
      </w:tr>
      <w:tr w:rsidR="0077532C" w:rsidRPr="008B51D7" w:rsidTr="006765B3">
        <w:trPr>
          <w:trHeight w:val="276"/>
        </w:trPr>
        <w:tc>
          <w:tcPr>
            <w:tcW w:w="679" w:type="dxa"/>
            <w:tcBorders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Audit Internal Infrastuktur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tcBorders>
              <w:bottom w:val="single" w:sz="4" w:space="0" w:color="000000"/>
            </w:tcBorders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Audit Eksternal Infrastuktur SPBE</w:t>
            </w:r>
          </w:p>
        </w:tc>
        <w:tc>
          <w:tcPr>
            <w:tcW w:w="2023" w:type="dxa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tcBorders>
              <w:bottom w:val="single" w:sz="4" w:space="0" w:color="000000"/>
            </w:tcBorders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77532C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2.</w:t>
            </w:r>
          </w:p>
        </w:tc>
        <w:tc>
          <w:tcPr>
            <w:tcW w:w="6536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Pengawasan dan Pengendalian Aplikasi SPBE</w:t>
            </w:r>
          </w:p>
        </w:tc>
        <w:tc>
          <w:tcPr>
            <w:tcW w:w="2023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BRIN, Inspektorat dan Diskominfops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Audit, Laporan Audit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Audit, Laporan Audit</w:t>
            </w:r>
          </w:p>
        </w:tc>
      </w:tr>
      <w:tr w:rsidR="0077532C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Audit Internal Aplikasi Khusus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Audit Eksternal Aplikasi Khusus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  <w:tr w:rsidR="0077532C" w:rsidRPr="008B51D7" w:rsidTr="006765B3">
        <w:trPr>
          <w:trHeight w:val="792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3.</w:t>
            </w:r>
          </w:p>
        </w:tc>
        <w:tc>
          <w:tcPr>
            <w:tcW w:w="6536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Pengawasan dan Pengendalian Keamanan SPBE</w:t>
            </w:r>
          </w:p>
        </w:tc>
        <w:tc>
          <w:tcPr>
            <w:tcW w:w="2023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BSSN dan Diskominfops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Belum ada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 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Audit, Laporan Audit</w:t>
            </w:r>
          </w:p>
        </w:tc>
        <w:tc>
          <w:tcPr>
            <w:tcW w:w="1873" w:type="dxa"/>
            <w:gridSpan w:val="2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bCs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bCs/>
                <w:sz w:val="24"/>
                <w:szCs w:val="24"/>
              </w:rPr>
              <w:t>Dokumentasi Audit, Laporan Audit</w:t>
            </w:r>
          </w:p>
        </w:tc>
      </w:tr>
      <w:tr w:rsidR="0077532C" w:rsidRPr="008B51D7" w:rsidTr="006765B3">
        <w:trPr>
          <w:trHeight w:val="276"/>
        </w:trPr>
        <w:tc>
          <w:tcPr>
            <w:tcW w:w="679" w:type="dxa"/>
            <w:tcBorders>
              <w:top w:val="nil"/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bottom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1.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Audit Internal Keamanan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</w:tr>
      <w:tr w:rsidR="0077532C" w:rsidRPr="008B51D7" w:rsidTr="006765B3">
        <w:trPr>
          <w:trHeight w:val="276"/>
        </w:trPr>
        <w:tc>
          <w:tcPr>
            <w:tcW w:w="679" w:type="dxa"/>
            <w:tcBorders>
              <w:top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5" w:type="dxa"/>
            <w:tcBorders>
              <w:top w:val="nil"/>
            </w:tcBorders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2.</w:t>
            </w:r>
          </w:p>
        </w:tc>
        <w:tc>
          <w:tcPr>
            <w:tcW w:w="5827" w:type="dxa"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Pelaksanaan Audit Eksternal Keamanan SPBE</w:t>
            </w:r>
          </w:p>
        </w:tc>
        <w:tc>
          <w:tcPr>
            <w:tcW w:w="2023" w:type="dxa"/>
            <w:noWrap/>
            <w:hideMark/>
          </w:tcPr>
          <w:p w:rsidR="0077532C" w:rsidRPr="008B51D7" w:rsidRDefault="0077532C" w:rsidP="0077532C">
            <w:pPr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 </w:t>
            </w:r>
          </w:p>
        </w:tc>
        <w:tc>
          <w:tcPr>
            <w:tcW w:w="1756" w:type="dxa"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gridSpan w:val="2"/>
            <w:noWrap/>
            <w:hideMark/>
          </w:tcPr>
          <w:p w:rsidR="0077532C" w:rsidRPr="008B51D7" w:rsidRDefault="0077532C" w:rsidP="0077532C">
            <w:pPr>
              <w:jc w:val="center"/>
              <w:rPr>
                <w:rFonts w:ascii="Bookman Old Style" w:hAnsi="Bookman Old Style"/>
                <w:b w:val="0"/>
                <w:sz w:val="24"/>
                <w:szCs w:val="24"/>
              </w:rPr>
            </w:pPr>
            <w:r w:rsidRPr="008B51D7">
              <w:rPr>
                <w:rFonts w:ascii="Bookman Old Style" w:hAnsi="Bookman Old Style"/>
                <w:b w:val="0"/>
                <w:sz w:val="24"/>
                <w:szCs w:val="24"/>
              </w:rPr>
              <w:t>√</w:t>
            </w:r>
          </w:p>
        </w:tc>
      </w:tr>
    </w:tbl>
    <w:p w:rsidR="00941632" w:rsidRPr="008B51D7" w:rsidRDefault="00941632" w:rsidP="00941632">
      <w:pPr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tbl>
      <w:tblPr>
        <w:tblStyle w:val="TableGrid"/>
        <w:tblW w:w="16727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49"/>
        <w:gridCol w:w="567"/>
        <w:gridCol w:w="4111"/>
      </w:tblGrid>
      <w:tr w:rsidR="00941632" w:rsidRPr="008B51D7" w:rsidTr="008B51D7">
        <w:tc>
          <w:tcPr>
            <w:tcW w:w="12049" w:type="dxa"/>
          </w:tcPr>
          <w:p w:rsidR="00941632" w:rsidRPr="008B51D7" w:rsidRDefault="00EF1D87" w:rsidP="008B51D7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spacing w:line="276" w:lineRule="auto"/>
              <w:rPr>
                <w:rFonts w:ascii="Bookman Old Style" w:hAnsi="Bookman Old Style" w:cs="Arial"/>
                <w:bCs w:val="0"/>
                <w:szCs w:val="24"/>
                <w:lang w:val="id-ID"/>
              </w:rPr>
            </w:pPr>
            <w:r w:rsidRPr="00D506DB">
              <w:rPr>
                <w:rFonts w:ascii="Bookman Old Style" w:hAnsi="Bookman Old Style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7FEC4A2E" wp14:editId="26E6BE00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4445</wp:posOffset>
                  </wp:positionV>
                  <wp:extent cx="2394721" cy="234886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721" cy="234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</w:tcPr>
          <w:p w:rsidR="00941632" w:rsidRPr="008B51D7" w:rsidRDefault="00941632" w:rsidP="008B51D7">
            <w:pPr>
              <w:pStyle w:val="Subtitle"/>
              <w:spacing w:line="276" w:lineRule="auto"/>
              <w:ind w:left="-108" w:right="-115"/>
              <w:rPr>
                <w:rFonts w:ascii="Bookman Old Style" w:hAnsi="Bookman Old Style" w:cs="Arial"/>
                <w:bCs w:val="0"/>
                <w:szCs w:val="24"/>
                <w:lang w:val="id-ID"/>
              </w:rPr>
            </w:pPr>
            <w:r w:rsidRPr="008B51D7">
              <w:rPr>
                <w:rFonts w:ascii="Bookman Old Style" w:hAnsi="Bookman Old Style" w:cs="Arial"/>
                <w:bCs w:val="0"/>
                <w:szCs w:val="24"/>
              </w:rPr>
              <w:t xml:space="preserve">  Pj.</w:t>
            </w:r>
          </w:p>
        </w:tc>
        <w:tc>
          <w:tcPr>
            <w:tcW w:w="4111" w:type="dxa"/>
          </w:tcPr>
          <w:p w:rsidR="00941632" w:rsidRPr="008B51D7" w:rsidRDefault="00941632" w:rsidP="008B51D7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spacing w:line="276" w:lineRule="auto"/>
              <w:ind w:left="-109"/>
              <w:rPr>
                <w:rFonts w:ascii="Bookman Old Style" w:hAnsi="Bookman Old Style" w:cs="Arial"/>
                <w:bCs w:val="0"/>
                <w:szCs w:val="24"/>
                <w:lang w:val="id-ID"/>
              </w:rPr>
            </w:pPr>
            <w:r w:rsidRPr="008B51D7">
              <w:rPr>
                <w:rFonts w:ascii="Bookman Old Style" w:hAnsi="Bookman Old Style" w:cs="Arial"/>
                <w:bCs w:val="0"/>
                <w:szCs w:val="24"/>
              </w:rPr>
              <w:t>Bupati Barito Timur</w:t>
            </w:r>
            <w:r w:rsidRPr="008B51D7">
              <w:rPr>
                <w:rFonts w:ascii="Bookman Old Style" w:hAnsi="Bookman Old Style" w:cs="Arial"/>
                <w:bCs w:val="0"/>
                <w:szCs w:val="24"/>
                <w:lang w:val="id-ID"/>
              </w:rPr>
              <w:t>,</w:t>
            </w:r>
          </w:p>
          <w:p w:rsidR="00941632" w:rsidRPr="008B51D7" w:rsidRDefault="00941632" w:rsidP="008B51D7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ind w:left="-109"/>
              <w:rPr>
                <w:rFonts w:ascii="Bookman Old Style" w:hAnsi="Bookman Old Style"/>
                <w:szCs w:val="24"/>
              </w:rPr>
            </w:pPr>
          </w:p>
          <w:p w:rsidR="00941632" w:rsidRPr="008B51D7" w:rsidRDefault="00941632" w:rsidP="008B51D7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ind w:left="-109"/>
              <w:rPr>
                <w:rFonts w:ascii="Bookman Old Style" w:hAnsi="Bookman Old Style"/>
                <w:szCs w:val="24"/>
              </w:rPr>
            </w:pPr>
          </w:p>
          <w:p w:rsidR="00941632" w:rsidRPr="008B51D7" w:rsidRDefault="00941632" w:rsidP="008B51D7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ind w:left="-109"/>
              <w:rPr>
                <w:rFonts w:ascii="Bookman Old Style" w:hAnsi="Bookman Old Style"/>
                <w:szCs w:val="24"/>
              </w:rPr>
            </w:pPr>
          </w:p>
          <w:p w:rsidR="00941632" w:rsidRPr="008B51D7" w:rsidRDefault="00941632" w:rsidP="008B51D7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ind w:left="-109"/>
              <w:rPr>
                <w:rFonts w:ascii="Bookman Old Style" w:hAnsi="Bookman Old Style"/>
                <w:szCs w:val="24"/>
                <w:lang w:val="id-ID"/>
              </w:rPr>
            </w:pPr>
            <w:r w:rsidRPr="008B51D7">
              <w:rPr>
                <w:rFonts w:ascii="Bookman Old Style" w:hAnsi="Bookman Old Style"/>
                <w:szCs w:val="24"/>
              </w:rPr>
              <w:t>Indra Gunawan</w:t>
            </w:r>
          </w:p>
        </w:tc>
      </w:tr>
    </w:tbl>
    <w:p w:rsidR="00941632" w:rsidRPr="008B51D7" w:rsidRDefault="00941632" w:rsidP="00941632">
      <w:pPr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p w:rsidR="00BA05E2" w:rsidRPr="008B51D7" w:rsidRDefault="00BA05E2">
      <w:pPr>
        <w:rPr>
          <w:sz w:val="24"/>
          <w:szCs w:val="24"/>
        </w:rPr>
      </w:pPr>
      <w:bookmarkStart w:id="0" w:name="_GoBack"/>
      <w:bookmarkEnd w:id="0"/>
    </w:p>
    <w:sectPr w:rsidR="00BA05E2" w:rsidRPr="008B51D7" w:rsidSect="008B51D7">
      <w:pgSz w:w="18711" w:h="11907" w:orient="landscape" w:code="9"/>
      <w:pgMar w:top="568" w:right="992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Sitka Small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3CFE"/>
    <w:multiLevelType w:val="hybridMultilevel"/>
    <w:tmpl w:val="3C0882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C5855"/>
    <w:multiLevelType w:val="hybridMultilevel"/>
    <w:tmpl w:val="00227F2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F6840"/>
    <w:multiLevelType w:val="hybridMultilevel"/>
    <w:tmpl w:val="7E54D430"/>
    <w:lvl w:ilvl="0" w:tplc="38090019">
      <w:start w:val="1"/>
      <w:numFmt w:val="lowerLetter"/>
      <w:lvlText w:val="%1."/>
      <w:lvlJc w:val="left"/>
      <w:pPr>
        <w:ind w:left="3272" w:hanging="360"/>
      </w:pPr>
    </w:lvl>
    <w:lvl w:ilvl="1" w:tplc="38090019">
      <w:start w:val="1"/>
      <w:numFmt w:val="lowerLetter"/>
      <w:lvlText w:val="%2."/>
      <w:lvlJc w:val="left"/>
      <w:pPr>
        <w:ind w:left="3992" w:hanging="360"/>
      </w:pPr>
    </w:lvl>
    <w:lvl w:ilvl="2" w:tplc="3809001B" w:tentative="1">
      <w:start w:val="1"/>
      <w:numFmt w:val="lowerRoman"/>
      <w:lvlText w:val="%3."/>
      <w:lvlJc w:val="right"/>
      <w:pPr>
        <w:ind w:left="4712" w:hanging="180"/>
      </w:pPr>
    </w:lvl>
    <w:lvl w:ilvl="3" w:tplc="3809000F" w:tentative="1">
      <w:start w:val="1"/>
      <w:numFmt w:val="decimal"/>
      <w:lvlText w:val="%4."/>
      <w:lvlJc w:val="left"/>
      <w:pPr>
        <w:ind w:left="5432" w:hanging="360"/>
      </w:pPr>
    </w:lvl>
    <w:lvl w:ilvl="4" w:tplc="38090019" w:tentative="1">
      <w:start w:val="1"/>
      <w:numFmt w:val="lowerLetter"/>
      <w:lvlText w:val="%5."/>
      <w:lvlJc w:val="left"/>
      <w:pPr>
        <w:ind w:left="6152" w:hanging="360"/>
      </w:pPr>
    </w:lvl>
    <w:lvl w:ilvl="5" w:tplc="3809001B" w:tentative="1">
      <w:start w:val="1"/>
      <w:numFmt w:val="lowerRoman"/>
      <w:lvlText w:val="%6."/>
      <w:lvlJc w:val="right"/>
      <w:pPr>
        <w:ind w:left="6872" w:hanging="180"/>
      </w:pPr>
    </w:lvl>
    <w:lvl w:ilvl="6" w:tplc="3809000F" w:tentative="1">
      <w:start w:val="1"/>
      <w:numFmt w:val="decimal"/>
      <w:lvlText w:val="%7."/>
      <w:lvlJc w:val="left"/>
      <w:pPr>
        <w:ind w:left="7592" w:hanging="360"/>
      </w:pPr>
    </w:lvl>
    <w:lvl w:ilvl="7" w:tplc="38090019" w:tentative="1">
      <w:start w:val="1"/>
      <w:numFmt w:val="lowerLetter"/>
      <w:lvlText w:val="%8."/>
      <w:lvlJc w:val="left"/>
      <w:pPr>
        <w:ind w:left="8312" w:hanging="360"/>
      </w:pPr>
    </w:lvl>
    <w:lvl w:ilvl="8" w:tplc="3809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3" w15:restartNumberingAfterBreak="0">
    <w:nsid w:val="1B007238"/>
    <w:multiLevelType w:val="hybridMultilevel"/>
    <w:tmpl w:val="3A4017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1B51D0"/>
    <w:multiLevelType w:val="hybridMultilevel"/>
    <w:tmpl w:val="D0DCFEE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D2DAF"/>
    <w:multiLevelType w:val="hybridMultilevel"/>
    <w:tmpl w:val="2F508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43256"/>
    <w:multiLevelType w:val="hybridMultilevel"/>
    <w:tmpl w:val="97122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32"/>
    <w:rsid w:val="001D4CB7"/>
    <w:rsid w:val="00233BD9"/>
    <w:rsid w:val="0049429B"/>
    <w:rsid w:val="00666C09"/>
    <w:rsid w:val="006765B3"/>
    <w:rsid w:val="007333D1"/>
    <w:rsid w:val="0077532C"/>
    <w:rsid w:val="008B51D7"/>
    <w:rsid w:val="008E622A"/>
    <w:rsid w:val="00941632"/>
    <w:rsid w:val="009666F9"/>
    <w:rsid w:val="009B7307"/>
    <w:rsid w:val="00AA6F46"/>
    <w:rsid w:val="00B20E55"/>
    <w:rsid w:val="00BA05E2"/>
    <w:rsid w:val="00BF6826"/>
    <w:rsid w:val="00CD0481"/>
    <w:rsid w:val="00EF1D87"/>
    <w:rsid w:val="00F7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47FD27"/>
  <w15:docId w15:val="{1A07426C-1D05-4C3B-B583-A0D52B529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="Arial"/>
        <w:b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32"/>
    <w:rPr>
      <w:rFonts w:ascii="Calibri" w:eastAsia="Calibri" w:hAnsi="Calibri" w:cs="Times New Roman"/>
      <w:b w:val="0"/>
      <w:sz w:val="22"/>
      <w:szCs w:val="22"/>
      <w:lang w:val="en-ZW"/>
    </w:rPr>
  </w:style>
  <w:style w:type="paragraph" w:styleId="Heading3">
    <w:name w:val="heading 3"/>
    <w:basedOn w:val="Normal"/>
    <w:next w:val="Normal"/>
    <w:link w:val="Heading3Char"/>
    <w:qFormat/>
    <w:rsid w:val="00941632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sz w:val="20"/>
      <w:szCs w:val="24"/>
      <w:lang w:val="x-none" w:eastAsia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41632"/>
    <w:rPr>
      <w:rFonts w:ascii="Arial" w:eastAsia="Times New Roman" w:hAnsi="Arial" w:cs="Times New Roman"/>
      <w:sz w:val="20"/>
      <w:lang w:val="x-none" w:eastAsia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941632"/>
    <w:pPr>
      <w:ind w:left="720"/>
      <w:contextualSpacing/>
    </w:pPr>
  </w:style>
  <w:style w:type="paragraph" w:styleId="Caption">
    <w:name w:val="caption"/>
    <w:basedOn w:val="Normal"/>
    <w:next w:val="Normal"/>
    <w:qFormat/>
    <w:rsid w:val="00941632"/>
    <w:pPr>
      <w:spacing w:after="0" w:line="240" w:lineRule="auto"/>
      <w:jc w:val="center"/>
    </w:pPr>
    <w:rPr>
      <w:rFonts w:ascii="Tahoma" w:eastAsia="Times New Roman" w:hAnsi="Tahoma"/>
      <w:b/>
      <w:bCs/>
      <w:sz w:val="54"/>
      <w:szCs w:val="24"/>
      <w:lang w:val="en-US"/>
    </w:rPr>
  </w:style>
  <w:style w:type="table" w:styleId="TableGrid">
    <w:name w:val="Table Grid"/>
    <w:basedOn w:val="TableNormal"/>
    <w:uiPriority w:val="39"/>
    <w:rsid w:val="00941632"/>
    <w:pPr>
      <w:spacing w:after="0" w:line="240" w:lineRule="auto"/>
    </w:pPr>
    <w:rPr>
      <w:rFonts w:ascii="Calibri" w:eastAsia="Calibri" w:hAnsi="Calibri" w:cs="Times New Roman"/>
      <w:b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20">
    <w:name w:val="Font Style20"/>
    <w:uiPriority w:val="99"/>
    <w:rsid w:val="00941632"/>
    <w:rPr>
      <w:rFonts w:ascii="Arial" w:hAnsi="Arial"/>
      <w:sz w:val="20"/>
    </w:rPr>
  </w:style>
  <w:style w:type="paragraph" w:styleId="NoSpacing">
    <w:name w:val="No Spacing"/>
    <w:uiPriority w:val="1"/>
    <w:qFormat/>
    <w:rsid w:val="00941632"/>
    <w:pPr>
      <w:spacing w:after="0" w:line="240" w:lineRule="auto"/>
      <w:jc w:val="center"/>
    </w:pPr>
    <w:rPr>
      <w:rFonts w:ascii="Calibri" w:eastAsia="Calibri" w:hAnsi="Calibri" w:cs="Times New Roman"/>
      <w:b w:val="0"/>
      <w:sz w:val="22"/>
      <w:szCs w:val="22"/>
    </w:rPr>
  </w:style>
  <w:style w:type="paragraph" w:styleId="Title">
    <w:name w:val="Title"/>
    <w:basedOn w:val="Normal"/>
    <w:next w:val="Normal"/>
    <w:link w:val="TitleChar"/>
    <w:uiPriority w:val="99"/>
    <w:qFormat/>
    <w:rsid w:val="00941632"/>
    <w:pPr>
      <w:autoSpaceDE w:val="0"/>
      <w:autoSpaceDN w:val="0"/>
      <w:adjustRightInd w:val="0"/>
      <w:spacing w:after="0" w:line="240" w:lineRule="auto"/>
    </w:pPr>
    <w:rPr>
      <w:rFonts w:ascii="Bookman Old Style" w:hAnsi="Bookman Old Style"/>
      <w:sz w:val="24"/>
      <w:szCs w:val="24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99"/>
    <w:rsid w:val="00941632"/>
    <w:rPr>
      <w:rFonts w:eastAsia="Calibri" w:cs="Times New Roman"/>
      <w:b w:val="0"/>
      <w:lang w:val="x-none" w:eastAsia="x-none"/>
    </w:rPr>
  </w:style>
  <w:style w:type="paragraph" w:customStyle="1" w:styleId="Default">
    <w:name w:val="Default"/>
    <w:rsid w:val="00941632"/>
    <w:pPr>
      <w:autoSpaceDE w:val="0"/>
      <w:autoSpaceDN w:val="0"/>
      <w:adjustRightInd w:val="0"/>
      <w:spacing w:after="0" w:line="240" w:lineRule="auto"/>
    </w:pPr>
    <w:rPr>
      <w:rFonts w:eastAsia="Calibri" w:cs="Bookman Old Style"/>
      <w:b w:val="0"/>
      <w:color w:val="000000"/>
      <w:lang w:val="id-ID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632"/>
    <w:pPr>
      <w:spacing w:after="0" w:line="240" w:lineRule="auto"/>
    </w:pPr>
    <w:rPr>
      <w:rFonts w:ascii="Tahoma" w:eastAsia="Times New Roman" w:hAnsi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632"/>
    <w:rPr>
      <w:rFonts w:ascii="Tahoma" w:eastAsia="Times New Roman" w:hAnsi="Tahoma" w:cs="Times New Roman"/>
      <w:b w:val="0"/>
      <w:sz w:val="16"/>
      <w:szCs w:val="16"/>
    </w:rPr>
  </w:style>
  <w:style w:type="character" w:styleId="Hyperlink">
    <w:name w:val="Hyperlink"/>
    <w:uiPriority w:val="99"/>
    <w:unhideWhenUsed/>
    <w:rsid w:val="0094163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416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632"/>
    <w:rPr>
      <w:rFonts w:ascii="Calibri" w:eastAsia="Calibri" w:hAnsi="Calibri" w:cs="Times New Roman"/>
      <w:b w:val="0"/>
      <w:sz w:val="22"/>
      <w:szCs w:val="22"/>
      <w:lang w:val="en-ZW"/>
    </w:rPr>
  </w:style>
  <w:style w:type="paragraph" w:styleId="Footer">
    <w:name w:val="footer"/>
    <w:basedOn w:val="Normal"/>
    <w:link w:val="FooterChar"/>
    <w:uiPriority w:val="99"/>
    <w:unhideWhenUsed/>
    <w:rsid w:val="009416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632"/>
    <w:rPr>
      <w:rFonts w:ascii="Calibri" w:eastAsia="Calibri" w:hAnsi="Calibri" w:cs="Times New Roman"/>
      <w:b w:val="0"/>
      <w:sz w:val="22"/>
      <w:szCs w:val="22"/>
      <w:lang w:val="en-ZW"/>
    </w:rPr>
  </w:style>
  <w:style w:type="paragraph" w:styleId="Subtitle">
    <w:name w:val="Subtitle"/>
    <w:basedOn w:val="Normal"/>
    <w:link w:val="SubtitleChar"/>
    <w:qFormat/>
    <w:rsid w:val="00941632"/>
    <w:pPr>
      <w:widowControl w:val="0"/>
      <w:autoSpaceDE w:val="0"/>
      <w:autoSpaceDN w:val="0"/>
      <w:adjustRightInd w:val="0"/>
      <w:spacing w:after="0" w:line="249" w:lineRule="atLeast"/>
      <w:jc w:val="both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41632"/>
    <w:rPr>
      <w:rFonts w:ascii="Times New Roman" w:eastAsia="Times New Roman" w:hAnsi="Times New Roman" w:cs="Times New Roman"/>
      <w:bCs/>
      <w:szCs w:val="20"/>
    </w:rPr>
  </w:style>
  <w:style w:type="paragraph" w:styleId="Revision">
    <w:name w:val="Revision"/>
    <w:hidden/>
    <w:uiPriority w:val="99"/>
    <w:semiHidden/>
    <w:rsid w:val="00941632"/>
    <w:pPr>
      <w:spacing w:after="0" w:line="240" w:lineRule="auto"/>
    </w:pPr>
    <w:rPr>
      <w:rFonts w:ascii="Calibri" w:eastAsia="Calibri" w:hAnsi="Calibri" w:cs="Times New Roman"/>
      <w:b w:val="0"/>
      <w:sz w:val="22"/>
      <w:szCs w:val="22"/>
      <w:lang w:val="en-ZW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416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163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ayanan.auditspbe@brin.go.i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ayanan.auditspbe@brin.go.i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C713F-7CCD-4624-841B-42A157AAE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26</Pages>
  <Words>4646</Words>
  <Characters>26483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BANHUK</dc:creator>
  <cp:lastModifiedBy>kominfoe</cp:lastModifiedBy>
  <cp:revision>9</cp:revision>
  <cp:lastPrinted>2024-07-04T04:15:00Z</cp:lastPrinted>
  <dcterms:created xsi:type="dcterms:W3CDTF">2024-06-21T02:59:00Z</dcterms:created>
  <dcterms:modified xsi:type="dcterms:W3CDTF">2024-07-04T04:27:00Z</dcterms:modified>
</cp:coreProperties>
</file>